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F3D" w:rsidRDefault="00A76F3D" w:rsidP="00A76F3D">
      <w:pPr>
        <w:spacing w:after="0"/>
        <w:ind w:left="217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КОНЦЕПЦИЯ РАЗВИТИЯ ПАРКА</w:t>
      </w:r>
    </w:p>
    <w:p w:rsidR="00E33AE6" w:rsidRDefault="00A76F3D" w:rsidP="00A76F3D">
      <w:pPr>
        <w:spacing w:after="0"/>
        <w:ind w:left="2160" w:firstLine="1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ИМ.30-ЛЕТИЯ ВЛКСМ В Г.БАРАНОВИЧИ</w:t>
      </w:r>
    </w:p>
    <w:p w:rsidR="00E33AE6" w:rsidRDefault="00E33AE6" w:rsidP="00E33AE6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u w:val="single"/>
        </w:rPr>
        <w:t>Используемые понятия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п. 2.11.1 методическими рекомендациями по проектированию «Правила проведения озеленения населенных пунктов», утвержденными приказом Министерства архитектуры и строительства Республики Беларусь от 20 апреля 2016 года № 101 разновидностью парка является многофункциональный парк. 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Многофункциональный парк (парк культуры и отдыха, городской парк, парк многофункциональный жилого района) – благоустроенная озелененная территория, предназначенная для организации различных видов отдыха (культурно- просветительские, нравственно-патриотические, спортивно-оздоровительные мероприятия, развлечения, тихий отдых и др.) и выполнения экологических функций. Основу насаждений многофункциональных парков составляют садово-парковые группы, массивы деревьев и кустарников, рощи, аллеи, солитеры, газоны, цветники. Обязательно присутствие элементов рекреационной инфраструктуры (дорожки, площадки, освещение, МАФ, аттракционы, здания и сооружения для культурно-массовых мероприятий, игр, спорта). Возможно размещение объектов общественного питания и торгово-бытового назначения для обслуживания отдыхающих – кафе, киосков, павильонов, туалетов, контейнеров для сбора отходов, а также зданий и сооружений для обслуживания территории парка (здания администрации, технические сооружения для обслуживания коммуникаций).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u w:val="single"/>
        </w:rPr>
        <w:t> Необходимость разработки и утверждения Концепции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утверждение Концепции обусловлена: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 неудовлетворительным состоянием покрытий центральных аллей и диагональных пешеходных связей в парке;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необходимостью создания благоприятных условий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отдыха и культурно-развлекательного досуга гостей и жителей города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необходимостью предоставления горожанам и гостям города качественной, конкурентоспособной досуговой услуги – услуги парка культуры и отдыха.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Утверждение концепции развития парка культуры и отдыха им. 30-летия ВЛКСМ города позволит определить основные направления развития парка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 его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благоустройства.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Основные цели и задачи концепции развития парка культуры и отдыха им. 30-летия ВЛКСМ</w:t>
      </w:r>
    </w:p>
    <w:p w:rsidR="00E33AE6" w:rsidRDefault="00E33AE6" w:rsidP="00E33A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пропаганда национальных традиций, общечеловеческих ценностей;</w:t>
      </w:r>
    </w:p>
    <w:p w:rsidR="00E33AE6" w:rsidRDefault="00E33AE6" w:rsidP="00E33A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круглогодичного, полноценного отдыха и проведения разнообразного досуга, как жителей города, так и гостей;</w:t>
      </w:r>
    </w:p>
    <w:p w:rsidR="00E33AE6" w:rsidRDefault="00E33AE6" w:rsidP="00E33A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обеспечение безопасного отдыха граждан;</w:t>
      </w:r>
    </w:p>
    <w:p w:rsidR="00E33AE6" w:rsidRDefault="00E33AE6" w:rsidP="00E33A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отдыхающих граждан всеми сопутствующими необходимыми услугами;</w:t>
      </w:r>
    </w:p>
    <w:p w:rsidR="00E33AE6" w:rsidRDefault="00E33AE6" w:rsidP="00E33A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увеличение количества услуг, направленных на образовательные, воспитательные, оздоровительные цели.</w:t>
      </w:r>
    </w:p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4. 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Характеристика парка культуры и отдыха им. 30-летия ВЛКСМ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Парк расположен в центральном планировочном районе в исторической зоне г. Барановичи. Земельный участок парка ограничен улицами Комсомольская, Горького, Гагарина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Притыцкого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Площадь земельного участка составляет 8,25 га и имеет прямоугольную форму. Рельеф спокойный. Парк имеет классическую планировку с выделением центра, акцентированного фонтаном со скульптурой. Вход на территорию парка осуществляется с четырех сторон по основным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взаимоперпендикулярным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аллеям.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Центральный вход – со стороны ул. Комсомольской от памятника С.И.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Грицевцу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Территория парка граничит со смежными землепользователями: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со стороны ул. Гагарина – кафе «Парк Авеню» - 0,0488 га, павильон модульного типа – 0,013 га;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со стороны пересечения улиц Гагарина - Комсомольская – дневной стационар УЗ «БЦП» - 0,1841 га;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со стороны пересечения улиц Комсомольская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Притыцкого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скважи</w:t>
      </w:r>
      <w:r w:rsidR="00785E92">
        <w:rPr>
          <w:rFonts w:ascii="Times New Roman" w:hAnsi="Times New Roman" w:cs="Times New Roman"/>
          <w:sz w:val="28"/>
          <w:szCs w:val="28"/>
          <w:shd w:val="clear" w:color="auto" w:fill="FFFFFF"/>
        </w:rPr>
        <w:t>на КУПП «Водоканал» - 0,0427 га.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Покрытие центральных аллей выполнено из сенажной плитки, а диагональных пешеходных связей – асфальтобетонное. По периметру парка имеется металлическое декоративное ограждение по металлическим стойкам на бетонном цоколе. На территории парка размещены стационарные аттракционы и капитальные сооружения.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парка расположены: объект ПРУП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Брестоблгаз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- 0,0075 га; теннисные корты с автомобильной парковкой отдела спорта и туризма – 0,3593 га; общественный туалет, танцевальная площадка, автодром и различные аттракционы.</w:t>
      </w:r>
    </w:p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3AE6" w:rsidRDefault="00E33AE6" w:rsidP="00E33A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SWOT- АНАЛИЗ развития парка  </w:t>
      </w:r>
    </w:p>
    <w:p w:rsidR="00E33AE6" w:rsidRDefault="00E33AE6" w:rsidP="00E33A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33AE6" w:rsidTr="00E33AE6">
        <w:tc>
          <w:tcPr>
            <w:tcW w:w="4785" w:type="dxa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Сильные стороны</w:t>
            </w:r>
          </w:p>
        </w:tc>
        <w:tc>
          <w:tcPr>
            <w:tcW w:w="4786" w:type="dxa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Слабые стороны</w:t>
            </w:r>
          </w:p>
        </w:tc>
      </w:tr>
      <w:tr w:rsidR="00E33AE6" w:rsidRPr="00E33AE6" w:rsidTr="00E33AE6">
        <w:tc>
          <w:tcPr>
            <w:tcW w:w="4785" w:type="dxa"/>
          </w:tcPr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удобное расположение в центре города;</w:t>
            </w: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наличие необходимой площади для размещения новых объектов;</w:t>
            </w: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 поддержка городских органов власти;</w:t>
            </w: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постоянное увеличение посещаемости </w:t>
            </w:r>
          </w:p>
          <w:p w:rsidR="00E33AE6" w:rsidRDefault="00E33A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сезонность парковой деятельности;</w:t>
            </w: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недостаточный уровень развития обеспечивающей инфраструктуры парка им. 30-летия ВЛКСМ;</w:t>
            </w: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 отсутствие дополнительного финансирования для реализации инвестиционных проектов в сфере услуг и развлечения на территории парка им. 30-летия ВЛКСМ.</w:t>
            </w:r>
          </w:p>
          <w:p w:rsidR="00E33AE6" w:rsidRDefault="00E33A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3AE6" w:rsidTr="00E33AE6">
        <w:tc>
          <w:tcPr>
            <w:tcW w:w="4785" w:type="dxa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Возможности</w:t>
            </w:r>
          </w:p>
        </w:tc>
        <w:tc>
          <w:tcPr>
            <w:tcW w:w="4786" w:type="dxa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Угрозы</w:t>
            </w:r>
          </w:p>
        </w:tc>
      </w:tr>
      <w:tr w:rsidR="00E33AE6" w:rsidRPr="00E33AE6" w:rsidTr="00E33AE6">
        <w:tc>
          <w:tcPr>
            <w:tcW w:w="4785" w:type="dxa"/>
          </w:tcPr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создание высокоэффективного парка на территории г.  Барановичи, предоставляющего целый спектр услуг;</w:t>
            </w: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снижение финансовой нагрузки на местный бюджет на содержание парка им. 30-летия ВЛКСМ;</w:t>
            </w: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 рост количества конкурентов в сфере организации досуга и развлечений;</w:t>
            </w: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н</w:t>
            </w:r>
            <w:r w:rsidR="00CA3D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едостаточная</w:t>
            </w:r>
            <w:r w:rsidR="00A475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A3D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тежеспособность населения;</w:t>
            </w:r>
          </w:p>
          <w:p w:rsidR="00E33AE6" w:rsidRDefault="00E33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инвестиционные</w:t>
            </w:r>
            <w:r w:rsidR="00A475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риски.</w:t>
            </w:r>
          </w:p>
          <w:p w:rsidR="00E33AE6" w:rsidRDefault="00E33A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6. Зонирование территории парка культуры и отдыха им. 30-летия ВЛКСМ</w:t>
      </w:r>
    </w:p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Функциональное развитие современного городского парка</w:t>
      </w:r>
      <w:r w:rsidR="009860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6064">
        <w:rPr>
          <w:rFonts w:ascii="Times New Roman" w:hAnsi="Times New Roman" w:cs="Times New Roman"/>
          <w:sz w:val="28"/>
          <w:szCs w:val="28"/>
        </w:rPr>
        <w:t>предполагает</w:t>
      </w:r>
      <w:r w:rsidR="00F82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986064">
        <w:rPr>
          <w:rFonts w:ascii="Times New Roman" w:hAnsi="Times New Roman" w:cs="Times New Roman"/>
          <w:sz w:val="28"/>
          <w:szCs w:val="28"/>
        </w:rPr>
        <w:t>ение</w:t>
      </w:r>
      <w:proofErr w:type="gramEnd"/>
      <w:r w:rsidR="00986064">
        <w:rPr>
          <w:rFonts w:ascii="Times New Roman" w:hAnsi="Times New Roman" w:cs="Times New Roman"/>
          <w:sz w:val="28"/>
          <w:szCs w:val="28"/>
        </w:rPr>
        <w:t xml:space="preserve">  территории</w:t>
      </w:r>
      <w:r>
        <w:rPr>
          <w:rFonts w:ascii="Times New Roman" w:hAnsi="Times New Roman" w:cs="Times New Roman"/>
          <w:sz w:val="28"/>
          <w:szCs w:val="28"/>
        </w:rPr>
        <w:t xml:space="preserve">  на </w:t>
      </w:r>
      <w:r>
        <w:rPr>
          <w:rFonts w:ascii="Times New Roman" w:hAnsi="Times New Roman" w:cs="Times New Roman"/>
          <w:sz w:val="28"/>
          <w:szCs w:val="28"/>
          <w:u w:val="single"/>
        </w:rPr>
        <w:t>четыре зоны отдыха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Зона активного детского отдыха</w:t>
      </w:r>
      <w:r>
        <w:rPr>
          <w:rFonts w:ascii="Times New Roman" w:hAnsi="Times New Roman" w:cs="Times New Roman"/>
          <w:sz w:val="28"/>
          <w:szCs w:val="28"/>
        </w:rPr>
        <w:t xml:space="preserve"> (Замечательно подходит для проведения</w:t>
      </w:r>
      <w:r w:rsidR="00F82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активных выходных вместе с детьми под открытым небом. В этой зоне планируется разместить детские аттракционы разной возрастной категории; развивающий городок позволит провести время на свежем воздухе детям дошкольного возраста; строительство амфитеатра с зоной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wi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GB"/>
        </w:rPr>
        <w:t>fi</w:t>
      </w:r>
      <w:r w:rsidRPr="00E33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сделает возможным проведение концертов в летнее время года и проведение культурных мероприятий для жителей города).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Игровая зона 12+</w:t>
      </w:r>
      <w:r>
        <w:rPr>
          <w:rFonts w:ascii="Times New Roman" w:hAnsi="Times New Roman" w:cs="Times New Roman"/>
          <w:sz w:val="28"/>
          <w:szCs w:val="28"/>
        </w:rPr>
        <w:t xml:space="preserve"> (Включает в себя активный комплекс с широким набором развлекательных услуг для семейного отдыха и детско-юношеского досуга: канатную полосу препятствий на деревьях, велодорожку формата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папм-трэк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 Игровая зона 16+ </w:t>
      </w:r>
      <w:r>
        <w:rPr>
          <w:rFonts w:ascii="Times New Roman" w:hAnsi="Times New Roman" w:cs="Times New Roman"/>
          <w:sz w:val="28"/>
          <w:szCs w:val="28"/>
        </w:rPr>
        <w:t xml:space="preserve">(Эта зона на базе действующего теннисного корта оснащена роллерной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площадкой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возрастов, детским развивающим городком для ребят школьного возраста, веревочным парком, аттракционами на деревьях.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этой зоне можно поиграть в спортивные игры,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E33AE6" w:rsidRDefault="00E33AE6" w:rsidP="00E3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4. Зона тихого отдыха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(Представляет собой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пейзажную территорию с системой живописных аллей, по периметру парковой зоны высажена защитная зеленая полоса, ограждающая отдыхающих от проезжей части.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Задача тихой зоны парка – поддержание спокойной атмосферы для повседневного отдыха: заняться физической культурой, погулять по тенистым аллеям, позагорать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лужайках, которые предназначены для отдыха посетителей на открытом воздухе среди зелени).</w:t>
      </w:r>
    </w:p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функциональные зоны разделены и связаны восстановленными пешеходными дорожками из бетонной плитки, что позволяет быстро найти интересное,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увлекательное  занятие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для всей семьи, так и для каждого её члена в отдельности. Вдоль центральных дорожек парка планируется создание восьми мобильных точек питания компактного формата размерами 3х4 м., две точки для продажи сувенирной продукции, две точки для проката иг</w:t>
      </w:r>
      <w:r w:rsidR="00F82E47">
        <w:rPr>
          <w:rFonts w:ascii="Times New Roman" w:hAnsi="Times New Roman" w:cs="Times New Roman"/>
          <w:sz w:val="28"/>
          <w:szCs w:val="28"/>
        </w:rPr>
        <w:t>рового оборудования (приложение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реконструкции парка планируется ремонт и восстановление фонтана с заменой инженерной инфраструктуры. Планируется подсветка и светомузыка фонтана. </w:t>
      </w:r>
    </w:p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2"/>
        <w:gridCol w:w="4338"/>
        <w:gridCol w:w="211"/>
      </w:tblGrid>
      <w:tr w:rsidR="00E33AE6" w:rsidTr="00026DE7">
        <w:trPr>
          <w:gridAfter w:val="1"/>
          <w:wAfter w:w="211" w:type="dxa"/>
          <w:trHeight w:val="565"/>
        </w:trPr>
        <w:tc>
          <w:tcPr>
            <w:tcW w:w="9144" w:type="dxa"/>
            <w:gridSpan w:val="2"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Текущее состояние фонтана</w:t>
            </w:r>
          </w:p>
          <w:p w:rsidR="00E33AE6" w:rsidRDefault="00E33AE6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33AE6" w:rsidTr="00026DE7">
        <w:trPr>
          <w:gridAfter w:val="1"/>
          <w:wAfter w:w="211" w:type="dxa"/>
          <w:trHeight w:val="5342"/>
        </w:trPr>
        <w:tc>
          <w:tcPr>
            <w:tcW w:w="9144" w:type="dxa"/>
            <w:gridSpan w:val="2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en-US"/>
              </w:rPr>
              <w:drawing>
                <wp:inline distT="0" distB="0" distL="0" distR="0">
                  <wp:extent cx="5114925" cy="3600450"/>
                  <wp:effectExtent l="0" t="0" r="9525" b="0"/>
                  <wp:docPr id="12" name="Рисунок 12" descr="img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AE6" w:rsidRPr="00E33AE6" w:rsidTr="00026DE7">
        <w:trPr>
          <w:gridAfter w:val="1"/>
          <w:wAfter w:w="211" w:type="dxa"/>
          <w:trHeight w:val="310"/>
        </w:trPr>
        <w:tc>
          <w:tcPr>
            <w:tcW w:w="9144" w:type="dxa"/>
            <w:gridSpan w:val="2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E33AE6" w:rsidTr="00026DE7">
        <w:trPr>
          <w:gridAfter w:val="1"/>
          <w:wAfter w:w="211" w:type="dxa"/>
          <w:trHeight w:val="565"/>
        </w:trPr>
        <w:tc>
          <w:tcPr>
            <w:tcW w:w="4806" w:type="dxa"/>
          </w:tcPr>
          <w:p w:rsidR="00E33AE6" w:rsidRPr="00026DE7" w:rsidRDefault="00E33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33AE6" w:rsidRDefault="00E33AE6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26DE7" w:rsidRDefault="00026DE7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26DE7" w:rsidRDefault="00026DE7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26DE7" w:rsidRDefault="00026DE7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26DE7" w:rsidRDefault="00026DE7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26DE7" w:rsidRDefault="00026DE7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26DE7" w:rsidRDefault="00026DE7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38" w:type="dxa"/>
            <w:hideMark/>
          </w:tcPr>
          <w:p w:rsidR="00E33AE6" w:rsidRDefault="00E33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33AE6" w:rsidTr="00026DE7">
        <w:trPr>
          <w:gridAfter w:val="1"/>
          <w:wAfter w:w="211" w:type="dxa"/>
          <w:trHeight w:val="565"/>
        </w:trPr>
        <w:tc>
          <w:tcPr>
            <w:tcW w:w="4806" w:type="dxa"/>
          </w:tcPr>
          <w:p w:rsidR="00E33AE6" w:rsidRDefault="00026DE7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338" w:type="dxa"/>
            <w:hideMark/>
          </w:tcPr>
          <w:p w:rsidR="00E33AE6" w:rsidRDefault="00E33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33AE6" w:rsidTr="00026DE7">
        <w:tc>
          <w:tcPr>
            <w:tcW w:w="9355" w:type="dxa"/>
            <w:gridSpan w:val="3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Предложения по аттракционной технике</w:t>
            </w:r>
          </w:p>
        </w:tc>
      </w:tr>
      <w:tr w:rsidR="00E33AE6" w:rsidRPr="00E33AE6" w:rsidTr="00026DE7">
        <w:tc>
          <w:tcPr>
            <w:tcW w:w="9355" w:type="dxa"/>
            <w:gridSpan w:val="3"/>
            <w:hideMark/>
          </w:tcPr>
          <w:p w:rsidR="00E33AE6" w:rsidRDefault="00E33AE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марта 2006 года в Республике Беларусь работает предприятие ИООО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Белларайдз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учредителем которого является крупнейший в мире производитель аттракционной техники — компания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Antonio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Zamperla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S.p.A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(Италия)</w:t>
            </w:r>
          </w:p>
        </w:tc>
      </w:tr>
      <w:tr w:rsidR="00E33AE6" w:rsidRPr="00E33AE6" w:rsidTr="00026DE7">
        <w:tc>
          <w:tcPr>
            <w:tcW w:w="9355" w:type="dxa"/>
            <w:gridSpan w:val="3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Аттракцион  КАЧЕЛИКИ   8.31×4.36×6.22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)  45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тыс.у.е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33AE6" w:rsidTr="00026DE7">
        <w:tc>
          <w:tcPr>
            <w:tcW w:w="9355" w:type="dxa"/>
            <w:gridSpan w:val="3"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en-US"/>
              </w:rPr>
              <w:drawing>
                <wp:inline distT="0" distB="0" distL="0" distR="0">
                  <wp:extent cx="5438775" cy="35909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AE6" w:rsidRDefault="00E33AE6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33AE6" w:rsidRPr="00E33AE6" w:rsidTr="00026DE7">
        <w:tc>
          <w:tcPr>
            <w:tcW w:w="9355" w:type="dxa"/>
            <w:gridSpan w:val="3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Аттракцион  КОЛОБОК   ( на 16 посадочных мест)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изготовитель ИООО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Белларайдз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235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у.е.</w:t>
            </w:r>
          </w:p>
        </w:tc>
      </w:tr>
      <w:tr w:rsidR="00E33AE6" w:rsidTr="00026DE7">
        <w:tc>
          <w:tcPr>
            <w:tcW w:w="9355" w:type="dxa"/>
            <w:gridSpan w:val="3"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en-US"/>
              </w:rPr>
              <w:lastRenderedPageBreak/>
              <w:drawing>
                <wp:inline distT="0" distB="0" distL="0" distR="0">
                  <wp:extent cx="5838825" cy="36004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AE6" w:rsidRDefault="00E33AE6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33AE6" w:rsidRPr="00E33AE6" w:rsidTr="00026DE7">
        <w:tc>
          <w:tcPr>
            <w:tcW w:w="9355" w:type="dxa"/>
            <w:gridSpan w:val="3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Аттракцион  МИНИ ДЖЕТ  ( на 16 посадочных мест)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изготовитель ИООО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Белларайдз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85 тыс. у.е.</w:t>
            </w:r>
          </w:p>
        </w:tc>
      </w:tr>
      <w:tr w:rsidR="00E33AE6" w:rsidTr="00026DE7">
        <w:tc>
          <w:tcPr>
            <w:tcW w:w="9355" w:type="dxa"/>
            <w:gridSpan w:val="3"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en-US"/>
              </w:rPr>
              <w:drawing>
                <wp:inline distT="0" distB="0" distL="0" distR="0">
                  <wp:extent cx="5762625" cy="36004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AE6" w:rsidRDefault="00E33AE6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33AE6" w:rsidRPr="00E33AE6" w:rsidTr="00026DE7">
        <w:tc>
          <w:tcPr>
            <w:tcW w:w="9355" w:type="dxa"/>
            <w:gridSpan w:val="3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Аттракцион  МИКС  14.6×4.0×6.2(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145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тыс.у.е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33AE6" w:rsidTr="00026DE7">
        <w:tc>
          <w:tcPr>
            <w:tcW w:w="9355" w:type="dxa"/>
            <w:gridSpan w:val="3"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en-US"/>
              </w:rPr>
              <w:lastRenderedPageBreak/>
              <w:drawing>
                <wp:inline distT="0" distB="0" distL="0" distR="0">
                  <wp:extent cx="4305300" cy="2886075"/>
                  <wp:effectExtent l="0" t="0" r="0" b="9525"/>
                  <wp:docPr id="4" name="Рисунок 4" descr="img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AE6" w:rsidRDefault="00E33AE6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33AE6" w:rsidRPr="00E33AE6" w:rsidTr="00026DE7">
        <w:tc>
          <w:tcPr>
            <w:tcW w:w="9355" w:type="dxa"/>
            <w:gridSpan w:val="3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Аттракцион  КАЛИПСО ( на 24 посадочных мест)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изготовитель ИООО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Белларайдз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120 тыс. у.е.</w:t>
            </w:r>
          </w:p>
        </w:tc>
      </w:tr>
      <w:tr w:rsidR="00E33AE6" w:rsidTr="00026DE7">
        <w:tc>
          <w:tcPr>
            <w:tcW w:w="9355" w:type="dxa"/>
            <w:gridSpan w:val="3"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en-US"/>
              </w:rPr>
              <w:drawing>
                <wp:inline distT="0" distB="0" distL="0" distR="0">
                  <wp:extent cx="5638800" cy="3600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AE6" w:rsidRDefault="00E33AE6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33AE6" w:rsidRPr="00E33AE6" w:rsidTr="00026DE7">
        <w:tc>
          <w:tcPr>
            <w:tcW w:w="9355" w:type="dxa"/>
            <w:gridSpan w:val="3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Аттракцион  ЛЕТАЮЩАЯ ТАРЕЛКА  14.0×6.0×10.0(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изготовитель ИООО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Белларайдз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85 тыс. у.е.</w:t>
            </w:r>
          </w:p>
        </w:tc>
      </w:tr>
      <w:tr w:rsidR="00E33AE6" w:rsidTr="00026DE7">
        <w:tc>
          <w:tcPr>
            <w:tcW w:w="9355" w:type="dxa"/>
            <w:gridSpan w:val="3"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en-US"/>
              </w:rPr>
              <w:lastRenderedPageBreak/>
              <w:drawing>
                <wp:inline distT="0" distB="0" distL="0" distR="0">
                  <wp:extent cx="5600700" cy="3600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AE6" w:rsidRDefault="00E33AE6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33AE6" w:rsidRPr="00E33AE6" w:rsidTr="00026DE7">
        <w:tc>
          <w:tcPr>
            <w:tcW w:w="9355" w:type="dxa"/>
            <w:gridSpan w:val="3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АВТОДРОМ  36.0×17.0×4.6(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изготовитель ИООО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Белларайдз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220 тыс. у.е.</w:t>
            </w:r>
          </w:p>
        </w:tc>
      </w:tr>
      <w:tr w:rsidR="00E33AE6" w:rsidTr="00026DE7">
        <w:tc>
          <w:tcPr>
            <w:tcW w:w="9355" w:type="dxa"/>
            <w:gridSpan w:val="3"/>
            <w:hideMark/>
          </w:tcPr>
          <w:p w:rsidR="00E33AE6" w:rsidRDefault="00E33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en-US"/>
              </w:rPr>
              <w:drawing>
                <wp:inline distT="0" distB="0" distL="0" distR="0">
                  <wp:extent cx="5543550" cy="3448050"/>
                  <wp:effectExtent l="0" t="0" r="0" b="0"/>
                  <wp:docPr id="1" name="Рисунок 1" descr="2авт8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2авт8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AE6" w:rsidRDefault="00E33AE6" w:rsidP="00E33AE6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6DE7" w:rsidRDefault="00026DE7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6DE7" w:rsidRDefault="00026DE7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7.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Ожидаемые результаты</w:t>
      </w:r>
    </w:p>
    <w:p w:rsidR="00E33AE6" w:rsidRDefault="00E33AE6" w:rsidP="00E33A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 Концепции развития будут достигнуты следующие показатели:</w:t>
      </w:r>
    </w:p>
    <w:p w:rsidR="00E33AE6" w:rsidRDefault="00E33AE6" w:rsidP="00E33A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увеличение количества культурных, образовательных, досуговых мероприятий;</w:t>
      </w:r>
    </w:p>
    <w:p w:rsidR="00E33AE6" w:rsidRDefault="00E33AE6" w:rsidP="00E33A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парк культуры и отдыха им. 30-летия ВЛКСМ сможет со временем выйти на самоокупаемость, затем на получение значительной прибыли и самостоятельно сможет финансировать программы реконструкции и развития;</w:t>
      </w:r>
    </w:p>
    <w:p w:rsidR="00E33AE6" w:rsidRDefault="00E33AE6" w:rsidP="00E33A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ежегодное увеличение количества посетителей;</w:t>
      </w:r>
    </w:p>
    <w:p w:rsidR="00E33AE6" w:rsidRDefault="00E33AE6" w:rsidP="00E33A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обеспечение доступа людей с ограниченными возможностями во все рекреационные территории и зоны отдыха парка.</w:t>
      </w:r>
    </w:p>
    <w:p w:rsidR="00E33AE6" w:rsidRDefault="00E33AE6" w:rsidP="00E33A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Парк станет одним из основных объектов событийного туризма </w:t>
      </w:r>
      <w:r w:rsidR="00F82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уровня. Удовлетворенность качеством своего досуга, доступностью тех или иных развлечений является для человека не только индикатором его социального положения, но и показателем развития экономики города. </w:t>
      </w:r>
    </w:p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E33AE6" w:rsidRDefault="00E33AE6" w:rsidP="00E33AE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13A7" w:rsidRDefault="000613A7"/>
    <w:sectPr w:rsidR="000613A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C51" w:rsidRDefault="006B5C51" w:rsidP="00026DE7">
      <w:pPr>
        <w:spacing w:after="0" w:line="240" w:lineRule="auto"/>
      </w:pPr>
      <w:r>
        <w:separator/>
      </w:r>
    </w:p>
  </w:endnote>
  <w:endnote w:type="continuationSeparator" w:id="0">
    <w:p w:rsidR="006B5C51" w:rsidRDefault="006B5C51" w:rsidP="00026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DE7" w:rsidRDefault="00026DE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DE7" w:rsidRDefault="00026DE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DE7" w:rsidRDefault="00026DE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C51" w:rsidRDefault="006B5C51" w:rsidP="00026DE7">
      <w:pPr>
        <w:spacing w:after="0" w:line="240" w:lineRule="auto"/>
      </w:pPr>
      <w:r>
        <w:separator/>
      </w:r>
    </w:p>
  </w:footnote>
  <w:footnote w:type="continuationSeparator" w:id="0">
    <w:p w:rsidR="006B5C51" w:rsidRDefault="006B5C51" w:rsidP="00026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DE7" w:rsidRDefault="00026DE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DE7" w:rsidRPr="00026DE7" w:rsidRDefault="00026DE7" w:rsidP="00026DE7">
    <w:pPr>
      <w:pStyle w:val="a4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DE7" w:rsidRDefault="00026DE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7E"/>
    <w:rsid w:val="00026DE7"/>
    <w:rsid w:val="000613A7"/>
    <w:rsid w:val="00292C7E"/>
    <w:rsid w:val="006B5C51"/>
    <w:rsid w:val="00785E92"/>
    <w:rsid w:val="00986064"/>
    <w:rsid w:val="00A475C7"/>
    <w:rsid w:val="00A76F3D"/>
    <w:rsid w:val="00CA3DDB"/>
    <w:rsid w:val="00E33AE6"/>
    <w:rsid w:val="00F8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EE238"/>
  <w15:chartTrackingRefBased/>
  <w15:docId w15:val="{835E0654-4380-4C56-94A4-9F21BE33E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AE6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3AE6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26DE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6DE7"/>
    <w:rPr>
      <w:lang w:val="ru-RU"/>
    </w:rPr>
  </w:style>
  <w:style w:type="paragraph" w:styleId="a6">
    <w:name w:val="footer"/>
    <w:basedOn w:val="a"/>
    <w:link w:val="a7"/>
    <w:uiPriority w:val="99"/>
    <w:unhideWhenUsed/>
    <w:rsid w:val="00026DE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6DE7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3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DD7F9-173A-43BA-8672-D07DFF218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2018-09-28T13:01:00Z</dcterms:created>
  <dcterms:modified xsi:type="dcterms:W3CDTF">2018-10-01T07:13:00Z</dcterms:modified>
</cp:coreProperties>
</file>